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HEBA SALEH Portfolio</w:t>
      </w:r>
    </w:p>
    <w:p>
      <w:pPr>
        <w:pStyle w:val="Subtitle"/>
      </w:pPr>
      <w:r>
        <w:t>Instructional Coaching | Curriculum Leadership | Mathematics Education</w:t>
      </w:r>
    </w:p>
    <w:p>
      <w:r>
        <w:rPr>
          <w:b w:val="0"/>
        </w:rPr>
        <w:t>My professional journey spans more than ten years of teaching, supporting colleagues and leading improvements in learning. Mathematics is my main area of expertise, while my wider purpose is instructional coaching: helping teachers understand their learners, refine their practice and evaluate the difference they make.</w:t>
      </w:r>
    </w:p>
    <w:p>
      <w:pPr>
        <w:spacing w:before="100"/>
      </w:pPr>
      <w:r>
        <w:rPr>
          <w:b/>
        </w:rPr>
        <w:t>My approach</w:t>
      </w:r>
      <w:r>
        <w:br/>
      </w:r>
      <w:r>
        <w:rPr>
          <w:b w:val="0"/>
        </w:rPr>
        <w:t>Understand the learner. Support the teacher. Design purposeful learning. Use evidence to improve.</w:t>
      </w:r>
    </w:p>
    <w:p>
      <w:pPr>
        <w:pStyle w:val="Heading2"/>
      </w:pPr>
      <w:r>
        <w:t>The work represented here</w:t>
      </w:r>
    </w:p>
    <w:p>
      <w:r>
        <w:rPr>
          <w:b w:val="0"/>
        </w:rPr>
        <w:t>My experience connects elementary mathematics leadership with AP Calculus teaching, curriculum design, professional development and school initiatives. I work with assessment evidence, classroom practice and feedback from teachers, students and families to identify priorities and shape support.</w:t>
      </w:r>
    </w:p>
    <w:tbl>
      <w:tblPr>
        <w:tblW w:type="auto" w:w="0"/>
        <w:jc w:val="center"/>
        <w:tblLayout w:type="fixed"/>
        <w:tblLook w:firstColumn="1" w:firstRow="1" w:lastColumn="0" w:lastRow="0" w:noHBand="0" w:noVBand="1" w:val="04A0"/>
      </w:tblPr>
      <w:tblGrid>
        <w:gridCol w:w="3200"/>
        <w:gridCol w:w="7082"/>
      </w:tblGrid>
      <w:tr>
        <w:trPr>
          <w:cantSplit/>
          <w:tblHeader/>
        </w:trPr>
        <w:tc>
          <w:tcPr>
            <w:tcW w:type="dxa" w:w="32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Leadership focus</w:t>
            </w:r>
          </w:p>
        </w:tc>
        <w:tc>
          <w:tcPr>
            <w:tcW w:type="dxa" w:w="708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Contribution</w:t>
            </w:r>
          </w:p>
        </w:tc>
      </w:tr>
      <w:tr>
        <w:trPr>
          <w:cantSplit/>
        </w:trPr>
        <w:tc>
          <w:tcPr>
            <w:tcW w:type="dxa" w:w="32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Developing people</w:t>
            </w:r>
          </w:p>
        </w:tc>
        <w:tc>
          <w:tcPr>
            <w:tcW w:type="dxa" w:w="708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Coaching, co-planning, modelling and professional learning</w:t>
            </w:r>
          </w:p>
        </w:tc>
      </w:tr>
      <w:tr>
        <w:trPr>
          <w:cantSplit/>
        </w:trPr>
        <w:tc>
          <w:tcPr>
            <w:tcW w:type="dxa" w:w="32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Designing learning</w:t>
            </w:r>
          </w:p>
        </w:tc>
        <w:tc>
          <w:tcPr>
            <w:tcW w:type="dxa" w:w="708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Curriculum progression, inclusive tasks and meaningful application</w:t>
            </w:r>
          </w:p>
        </w:tc>
      </w:tr>
      <w:tr>
        <w:trPr>
          <w:cantSplit/>
        </w:trPr>
        <w:tc>
          <w:tcPr>
            <w:tcW w:type="dxa" w:w="32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Using evidence</w:t>
            </w:r>
          </w:p>
        </w:tc>
        <w:tc>
          <w:tcPr>
            <w:tcW w:type="dxa" w:w="708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Assessment analysis, intervention and progress review</w:t>
            </w:r>
          </w:p>
        </w:tc>
      </w:tr>
      <w:tr>
        <w:trPr>
          <w:cantSplit/>
        </w:trPr>
        <w:tc>
          <w:tcPr>
            <w:tcW w:type="dxa" w:w="320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Building opportunity</w:t>
            </w:r>
          </w:p>
        </w:tc>
        <w:tc>
          <w:tcPr>
            <w:tcW w:type="dxa" w:w="708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Digital learning, clubs, events and family engagement</w:t>
            </w:r>
          </w:p>
        </w:tc>
      </w:tr>
    </w:tbl>
    <w:p>
      <w:pPr>
        <w:spacing w:after="0"/>
      </w:pPr>
    </w:p>
    <w:p>
      <w:pPr>
        <w:pStyle w:val="Heading2"/>
      </w:pPr>
      <w:r>
        <w:t>What this portfolio brings together</w:t>
      </w:r>
    </w:p>
    <w:p>
      <w:r>
        <w:rPr>
          <w:b w:val="0"/>
        </w:rPr>
        <w:t>Each division presents a distinct part of my work through actions, impact, evidence and reflection. The evidence includes assessment summaries, learning resources, teacher accounts, student reflections, parent feedback and records of initiatives I have developed.</w:t>
      </w:r>
    </w:p>
    <w:p>
      <w:r>
        <w:rPr>
          <w:b w:val="0"/>
        </w:rPr>
        <w:t>HEBA SALEH</w:t>
      </w:r>
      <w:r>
        <w:br/>
      </w:r>
      <w:r>
        <w:rPr>
          <w:b w:val="0"/>
        </w:rPr>
        <w:t>Educator · Instructional Coach · Curriculum Leader</w:t>
      </w:r>
    </w:p>
    <w:p>
      <w:r>
        <w:br w:type="page"/>
      </w:r>
    </w:p>
    <w:p>
      <w:pPr>
        <w:pStyle w:val="Heading1"/>
        <w:keepNext/>
      </w:pPr>
      <w:r>
        <w:t>Developing Teachers Through Instructional Coaching</w:t>
      </w:r>
    </w:p>
    <w:p>
      <w:pPr>
        <w:pStyle w:val="Subtitle"/>
      </w:pPr>
      <w:r>
        <w:t>Co-planning, feedback and reflection connected to classroom learning</w:t>
      </w:r>
    </w:p>
    <w:p>
      <w:pPr>
        <w:pStyle w:val="Heading2"/>
      </w:pPr>
      <w:r>
        <w:t>Actions</w:t>
      </w:r>
    </w:p>
    <w:p>
      <w:r>
        <w:rPr>
          <w:b w:val="0"/>
        </w:rPr>
        <w:t>I work alongside teachers through co-planning, modelling, co-teaching and focused feedback. We review learning objectives, assessment information and student work, then refine the activities, support and questions used in the classroom.</w:t>
      </w:r>
    </w:p>
    <w:tbl>
      <w:tblPr>
        <w:tblW w:type="auto" w:w="0"/>
        <w:jc w:val="center"/>
        <w:tblLayout w:type="fixed"/>
        <w:tblLook w:firstColumn="1" w:firstRow="1" w:lastColumn="0" w:lastRow="0" w:noHBand="0" w:noVBand="1" w:val="04A0"/>
      </w:tblPr>
      <w:tblGrid>
        <w:gridCol w:w="2560"/>
        <w:gridCol w:w="3861"/>
        <w:gridCol w:w="3861"/>
      </w:tblGrid>
      <w:tr>
        <w:trPr>
          <w:cantSplit/>
          <w:tblHeader/>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Coaching evidence</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Change reported by the teacher</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Classroom impact described</w:t>
            </w:r>
          </w:p>
        </w:tc>
      </w:tr>
      <w:tr>
        <w:trPr>
          <w:cantSplit/>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Grade 5 teacher account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More reflective planning and clearer alignment of objectives and assessment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More structured lessons and increased participation</w:t>
            </w:r>
          </w:p>
        </w:tc>
      </w:tr>
      <w:tr>
        <w:trPr>
          <w:cantSplit/>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Grade 2 teacher account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Stronger differentiation and assessment through scenario-based tasks</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Greater interest and opportunities for practical problem solving</w:t>
            </w:r>
          </w:p>
        </w:tc>
      </w:tr>
      <w:tr>
        <w:trPr>
          <w:cantSplit/>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Grade 4 teacher account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More purposeful co-planning, resources and clearer explanations</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More engaging and inclusive lessons</w:t>
            </w:r>
          </w:p>
        </w:tc>
      </w:tr>
      <w:tr>
        <w:trPr>
          <w:cantSplit/>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Grade 5 teacher account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Planning adapted through feedback and student-data discussions</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Students explain reasoning and attempt challenging work more willingly</w:t>
            </w:r>
          </w:p>
        </w:tc>
      </w:tr>
      <w:tr>
        <w:trPr>
          <w:cantSplit/>
        </w:trPr>
        <w:tc>
          <w:tcPr>
            <w:tcW w:type="dxa" w:w="256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Grade 1 teacher account</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Better use of assessment, practical tools and projects</w:t>
            </w:r>
          </w:p>
        </w:tc>
        <w:tc>
          <w:tcPr>
            <w:tcW w:type="dxa" w:w="386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Learning activities more responsive to students’ starting points</w:t>
            </w:r>
          </w:p>
        </w:tc>
      </w:tr>
    </w:tbl>
    <w:p>
      <w:pPr>
        <w:spacing w:after="0"/>
      </w:pPr>
    </w:p>
    <w:p>
      <w:pPr>
        <w:pStyle w:val="Heading2"/>
      </w:pPr>
      <w:r>
        <w:t>Impact</w:t>
      </w:r>
    </w:p>
    <w:p>
      <w:r>
        <w:rPr>
          <w:b w:val="0"/>
        </w:rPr>
        <w:t>The teacher accounts connect my support with changes in planning, confidence and classroom approaches. They also describe changes in students’ participation, reasoning and willingness to engage with challenge. These are colleagues’ observations of practice and learning.</w:t>
      </w:r>
    </w:p>
    <w:p>
      <w:pPr>
        <w:pStyle w:val="Heading2"/>
      </w:pPr>
      <w:r>
        <w:t>Evidence</w:t>
      </w:r>
    </w:p>
    <w:p>
      <w:r>
        <w:rPr>
          <w:b w:val="0"/>
        </w:rPr>
        <w:t>Teacher testimonials across year groups, co-planning resources and the leadership reflection chart support this account. The testimonials identify what teachers changed, rather than only expressing appreciation for support.</w:t>
      </w:r>
    </w:p>
    <w:p>
      <w:pPr>
        <w:spacing w:before="100"/>
      </w:pPr>
      <w:r>
        <w:rPr>
          <w:b/>
        </w:rPr>
        <w:t>Reflection</w:t>
      </w:r>
      <w:r>
        <w:br/>
      </w:r>
      <w:r>
        <w:rPr>
          <w:b w:val="0"/>
        </w:rPr>
        <w:t>Coaching is most useful when a teacher can explain the change made and what students showed afterwards. Pairing teacher feedback with revised plans and student work makes that connection clearer.</w:t>
      </w:r>
    </w:p>
    <w:p>
      <w:r>
        <w:br w:type="page"/>
      </w:r>
    </w:p>
    <w:p>
      <w:pPr>
        <w:pStyle w:val="Heading1"/>
        <w:keepNext/>
      </w:pPr>
      <w:r>
        <w:t>Turning Professional Development Into Classroom Practice</w:t>
      </w:r>
    </w:p>
    <w:p>
      <w:pPr>
        <w:pStyle w:val="Subtitle"/>
      </w:pPr>
      <w:r>
        <w:t>Training delivered to teachers and the changes described in their feedback</w:t>
      </w:r>
    </w:p>
    <w:p>
      <w:pPr>
        <w:pStyle w:val="Heading2"/>
      </w:pPr>
      <w:r>
        <w:t>Actions</w:t>
      </w:r>
    </w:p>
    <w:p>
      <w:r>
        <w:rPr>
          <w:b w:val="0"/>
        </w:rPr>
        <w:t>I deliver professional development and share practical resources on using external assessment information, Common Core standards, curriculum adaptation, growth mindset, Gizmos and responsible AI use in planning. I also support teachers in using NGRT and CAT4 information to understand learning needs.</w:t>
      </w:r>
    </w:p>
    <w:tbl>
      <w:tblPr>
        <w:tblW w:type="auto" w:w="0"/>
        <w:jc w:val="center"/>
        <w:tblLayout w:type="fixed"/>
        <w:tblLook w:firstColumn="1" w:firstRow="1" w:lastColumn="0" w:lastRow="0" w:noHBand="0" w:noVBand="1" w:val="04A0"/>
      </w:tblPr>
      <w:tblGrid>
        <w:gridCol w:w="3626"/>
        <w:gridCol w:w="6655"/>
      </w:tblGrid>
      <w:tr>
        <w:trPr>
          <w:cantSplit/>
          <w:tblHeader/>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Professional development focus</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Application supported in classrooms</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Assessment data and learning needs</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Identify starting points, misconceptions and targeted support</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Common Core standards and lesson expectations</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Align learning objectives, tasks and checks for understanding</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Curriculum adaptation and differentiation</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Plan accessible activities with appropriate support and challenge</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Concrete pictorial abstract learning and role-play</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Use models and practical scenarios to explain mathematical ideas</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Gizmos and AI-supported planning</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Develop resources and explore concepts with a clear learning purpose</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Growth mindset and reflection</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Review practice and encourage perseverance with challenging learning</w:t>
            </w:r>
          </w:p>
        </w:tc>
      </w:tr>
    </w:tbl>
    <w:p>
      <w:pPr>
        <w:spacing w:after="0"/>
      </w:pPr>
    </w:p>
    <w:p>
      <w:pPr>
        <w:pStyle w:val="Heading2"/>
      </w:pPr>
      <w:r>
        <w:t>Impact</w:t>
      </w:r>
    </w:p>
    <w:p>
      <w:r>
        <w:rPr>
          <w:b w:val="0"/>
        </w:rPr>
        <w:t>Teachers describe using more practical activities, stronger differentiation and clearer assessment after professional support. One teacher reports applying planning ideas across subjects. Another links curriculum guidance and student-data discussions with students explaining their reasoning more clearly and participating more actively.</w:t>
      </w:r>
    </w:p>
    <w:p>
      <w:pPr>
        <w:pStyle w:val="Heading2"/>
      </w:pPr>
      <w:r>
        <w:t>Evidence</w:t>
      </w:r>
    </w:p>
    <w:p>
      <w:r>
        <w:rPr>
          <w:b w:val="0"/>
        </w:rPr>
        <w:t>The training presentations, lesson expectations, adaptation resources, CPA session, PD reflection form and classroom activity photographs show the learning offered. Teacher accounts provide evidence of reported application. These accounts support the combined coaching and development approach; they do not isolate the effect of a single session.</w:t>
      </w:r>
    </w:p>
    <w:p>
      <w:pPr>
        <w:spacing w:before="100"/>
      </w:pPr>
      <w:r>
        <w:rPr>
          <w:b/>
        </w:rPr>
        <w:t>Reflection</w:t>
      </w:r>
      <w:r>
        <w:br/>
      </w:r>
      <w:r>
        <w:rPr>
          <w:b w:val="0"/>
        </w:rPr>
        <w:t>The value of professional development is in what teachers use afterwards. Follow-up discussion, observation and student work help show whether an approach improves access, participation and understanding.</w:t>
      </w:r>
    </w:p>
    <w:p>
      <w:r>
        <w:br w:type="page"/>
      </w:r>
    </w:p>
    <w:p>
      <w:pPr>
        <w:pStyle w:val="Heading1"/>
        <w:keepNext/>
      </w:pPr>
      <w:r>
        <w:t>Leading Induction Week Professional Development</w:t>
      </w:r>
    </w:p>
    <w:p>
      <w:pPr>
        <w:pStyle w:val="Subtitle"/>
      </w:pPr>
      <w:r>
        <w:t>Instructional Labs focused on evidence, decisions and every learner’s progress</w:t>
      </w:r>
    </w:p>
    <w:p>
      <w:pPr>
        <w:pStyle w:val="Heading2"/>
      </w:pPr>
      <w:r>
        <w:t>Actions</w:t>
      </w:r>
    </w:p>
    <w:p>
      <w:r>
        <w:rPr>
          <w:b w:val="0"/>
        </w:rPr>
        <w:t>During induction week, I led workshops helping teachers look closely at learning, identify the next teaching move and plan for progress across the class. I used The Inspector’s Eye as a lens for asking what students can demonstrate independently, beyond participation or completed activities.</w:t>
      </w:r>
    </w:p>
    <w:tbl>
      <w:tblPr>
        <w:tblW w:type="auto" w:w="0"/>
        <w:jc w:val="center"/>
        <w:tblLayout w:type="fixed"/>
        <w:tblLook w:firstColumn="1" w:firstRow="1" w:lastColumn="0" w:lastRow="0" w:noHBand="0" w:noVBand="1" w:val="04A0"/>
      </w:tblPr>
      <w:tblGrid>
        <w:gridCol w:w="3733"/>
        <w:gridCol w:w="6549"/>
      </w:tblGrid>
      <w:tr>
        <w:trPr>
          <w:cantSplit/>
          <w:tblHeader/>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Workshop</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Teacher activity and classroom purpose</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Evidence Speaks</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Examine what counts as credible learning evidence; distinguish engagement and task completion from independent understanding</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The Next Move</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Connect a specific learning gap with reteaching, modelling, challenge and an independent follow-up check</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Every Learner Every Lesson / Teaching Math for the Future</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Plan for individual progress, inclusion and meaningful application, with attention to readiness for future learning</w:t>
            </w:r>
          </w:p>
        </w:tc>
      </w:tr>
    </w:tbl>
    <w:p>
      <w:pPr>
        <w:spacing w:after="0"/>
      </w:pPr>
    </w:p>
    <w:p>
      <w:pPr>
        <w:spacing w:before="100"/>
      </w:pPr>
      <w:r>
        <w:rPr>
          <w:b/>
        </w:rPr>
        <w:t>Evidence → Decision → Action → Impact</w:t>
      </w:r>
      <w:r>
        <w:br/>
      </w:r>
      <w:r>
        <w:rPr>
          <w:b w:val="0"/>
        </w:rPr>
        <w:t>The Inspector’s Eye asks: What has each learner understood? What will I change? How will I know it helped?</w:t>
      </w:r>
    </w:p>
    <w:p>
      <w:pPr>
        <w:pStyle w:val="Heading2"/>
      </w:pPr>
      <w:r>
        <w:t>Impact</w:t>
      </w:r>
    </w:p>
    <w:p>
      <w:r>
        <w:rPr>
          <w:b w:val="0"/>
        </w:rPr>
        <w:t>The workshops established a shared focus for planning and coaching: teachers should identify the learner’s need, choose a purposeful response and check the result. Collaborative scenarios, progress maps, assessment investigations and Progress Bridge planning made these decisions practical.</w:t>
      </w:r>
    </w:p>
    <w:p>
      <w:pPr>
        <w:pStyle w:val="Heading2"/>
      </w:pPr>
      <w:r>
        <w:t>Evidence</w:t>
      </w:r>
    </w:p>
    <w:p>
      <w:r>
        <w:rPr>
          <w:b w:val="0"/>
        </w:rPr>
        <w:t>The workshop materials and documented lab outlines show the professional learning delivered. Scenario responses and planning activities capture teachers’ thinking. The wider teacher testimonials describe stronger planning, differentiation and assessment; classroom follow-up is needed to identify the effect of each workshop separately.</w:t>
      </w:r>
    </w:p>
    <w:p>
      <w:pPr>
        <w:pStyle w:val="Heading2"/>
      </w:pPr>
      <w:r>
        <w:t>Reflection</w:t>
      </w:r>
    </w:p>
    <w:p>
      <w:r>
        <w:rPr>
          <w:b w:val="0"/>
        </w:rPr>
        <w:t>Induction is a starting point for sustained development. Follow-up co-planning, observations and student work help turn a shared approach into consistent classroom practice.</w:t>
      </w:r>
    </w:p>
    <w:p>
      <w:r>
        <w:br w:type="page"/>
      </w:r>
    </w:p>
    <w:p>
      <w:pPr>
        <w:pStyle w:val="Heading1"/>
        <w:keepNext/>
      </w:pPr>
      <w:r>
        <w:t>Designing a Coherent Mathematics Curriculum</w:t>
      </w:r>
    </w:p>
    <w:p>
      <w:pPr>
        <w:pStyle w:val="Subtitle"/>
      </w:pPr>
      <w:r>
        <w:t>Connecting early foundations with readiness for secondary learning</w:t>
      </w:r>
    </w:p>
    <w:p>
      <w:pPr>
        <w:pStyle w:val="Heading2"/>
      </w:pPr>
      <w:r>
        <w:t>Actions</w:t>
      </w:r>
    </w:p>
    <w:p>
      <w:r>
        <w:rPr>
          <w:b w:val="0"/>
        </w:rPr>
        <w:t>I designed a 35-week K–5 mathematics framework that connects standards, prerequisite skills, vocabulary, activities and evidence of learning. Vertical alignment makes links between year groups explicit, while readiness checks help teachers identify the knowledge needed before new concepts.</w:t>
      </w:r>
    </w:p>
    <w:p>
      <w:pPr>
        <w:spacing w:before="100"/>
      </w:pPr>
      <w:r>
        <w:rPr>
          <w:b/>
        </w:rPr>
        <w:t>Prior knowledge → New understanding → Application → Review</w:t>
      </w:r>
      <w:r>
        <w:br/>
      </w:r>
      <w:r>
        <w:rPr>
          <w:b w:val="0"/>
        </w:rPr>
        <w:t>A connected sequence that supports progression and responsive teaching.</w:t>
      </w:r>
    </w:p>
    <w:tbl>
      <w:tblPr>
        <w:tblW w:type="auto" w:w="0"/>
        <w:jc w:val="center"/>
        <w:tblLayout w:type="fixed"/>
        <w:tblLook w:firstColumn="1" w:firstRow="1" w:lastColumn="0" w:lastRow="0" w:noHBand="0" w:noVBand="1" w:val="04A0"/>
      </w:tblPr>
      <w:tblGrid>
        <w:gridCol w:w="3520"/>
        <w:gridCol w:w="6762"/>
      </w:tblGrid>
      <w:tr>
        <w:trPr>
          <w:cantSplit/>
          <w:tblHeader/>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Design feature</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Purpose</w:t>
            </w:r>
          </w:p>
        </w:tc>
      </w:tr>
      <w:tr>
        <w:trPr>
          <w:cantSplit/>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Standards and prerequisite skills</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Maintain a clear mathematical progression</w:t>
            </w:r>
          </w:p>
        </w:tc>
      </w:tr>
      <w:tr>
        <w:trPr>
          <w:cantSplit/>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Concept-linked fluency</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Prepare students for the demands of the current learning</w:t>
            </w:r>
          </w:p>
        </w:tc>
      </w:tr>
      <w:tr>
        <w:trPr>
          <w:cantSplit/>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Vocabulary and representations</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Support explanation and access to concepts</w:t>
            </w:r>
          </w:p>
        </w:tc>
      </w:tr>
      <w:tr>
        <w:trPr>
          <w:cantSplit/>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Real-life scenarios and projects</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Develop application, reasoning and decision making</w:t>
            </w:r>
          </w:p>
        </w:tc>
      </w:tr>
      <w:tr>
        <w:trPr>
          <w:cantSplit/>
        </w:trPr>
        <w:tc>
          <w:tcPr>
            <w:tcW w:type="dxa" w:w="352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Teacher pacing reviews</w:t>
            </w:r>
          </w:p>
        </w:tc>
        <w:tc>
          <w:tcPr>
            <w:tcW w:type="dxa" w:w="676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Allow purposeful extension or reteaching</w:t>
            </w:r>
          </w:p>
        </w:tc>
      </w:tr>
    </w:tbl>
    <w:p>
      <w:pPr>
        <w:spacing w:after="0"/>
      </w:pPr>
    </w:p>
    <w:p>
      <w:pPr>
        <w:pStyle w:val="Heading2"/>
      </w:pPr>
      <w:r>
        <w:t>Impact</w:t>
      </w:r>
    </w:p>
    <w:p>
      <w:r>
        <w:rPr>
          <w:b w:val="0"/>
        </w:rPr>
        <w:t>The framework provides teachers with a shared planning reference and a clearer view of how learning develops. Its intended student impact is stronger number sense, reasoning, mathematical language and independence before secondary school.</w:t>
      </w:r>
    </w:p>
    <w:p>
      <w:pPr>
        <w:pStyle w:val="Heading2"/>
      </w:pPr>
      <w:r>
        <w:t>Evidence</w:t>
      </w:r>
    </w:p>
    <w:p>
      <w:r>
        <w:rPr>
          <w:b w:val="0"/>
        </w:rPr>
        <w:t>The curriculum workbook includes standards, weekly concepts, prerequisite checks, vertical alignment and planned learning evidence. These demonstrate the design; assessed work and transition checks show how effectively it is implemented.</w:t>
      </w:r>
    </w:p>
    <w:p>
      <w:pPr>
        <w:pStyle w:val="Heading2"/>
      </w:pPr>
      <w:r>
        <w:t>Reflection</w:t>
      </w:r>
    </w:p>
    <w:p>
      <w:r>
        <w:rPr>
          <w:b w:val="0"/>
        </w:rPr>
        <w:t>Coverage matters, but secure understanding matters more. Curriculum review should consider whether students can use prior learning independently in a new context.</w:t>
      </w:r>
    </w:p>
    <w:p>
      <w:r>
        <w:br w:type="page"/>
      </w:r>
    </w:p>
    <w:p>
      <w:pPr>
        <w:pStyle w:val="Heading1"/>
        <w:keepNext/>
      </w:pPr>
      <w:r>
        <w:t>Math for Future Careers</w:t>
      </w:r>
    </w:p>
    <w:p>
      <w:pPr>
        <w:pStyle w:val="Subtitle"/>
      </w:pPr>
      <w:r>
        <w:t>Making curriculum concepts meaningful through professional roles and real-life challenges</w:t>
      </w:r>
    </w:p>
    <w:p>
      <w:pPr>
        <w:pStyle w:val="Heading2"/>
      </w:pPr>
      <w:r>
        <w:t>Actions</w:t>
      </w:r>
    </w:p>
    <w:p>
      <w:r>
        <w:rPr>
          <w:b w:val="0"/>
        </w:rPr>
        <w:t>I designed Math for Future Careers as part of the mathematics curriculum. Weekly career themes give students a purposeful role and a problem to solve using the concepts they are learning. I support teachers in connecting each scenario with a clear objective, suitable representations, mathematical vocabulary and evidence of understanding.</w:t>
      </w:r>
    </w:p>
    <w:p>
      <w:pPr>
        <w:spacing w:before="100"/>
      </w:pPr>
      <w:r>
        <w:rPr>
          <w:b/>
        </w:rPr>
        <w:t>Mathematical concept → Career challenge → Model and solve → Explain and reflect</w:t>
      </w:r>
      <w:r>
        <w:br/>
      </w:r>
      <w:r>
        <w:rPr>
          <w:b w:val="0"/>
        </w:rPr>
        <w:t>The career context gives the mathematics a purpose while the learning objective guides the task.</w:t>
      </w:r>
    </w:p>
    <w:tbl>
      <w:tblPr>
        <w:tblW w:type="auto" w:w="0"/>
        <w:jc w:val="center"/>
        <w:tblLayout w:type="fixed"/>
        <w:tblLook w:firstColumn="1" w:firstRow="1" w:lastColumn="0" w:lastRow="0" w:noHBand="0" w:noVBand="1" w:val="04A0"/>
      </w:tblPr>
      <w:tblGrid>
        <w:gridCol w:w="3733"/>
        <w:gridCol w:w="6549"/>
      </w:tblGrid>
      <w:tr>
        <w:trPr>
          <w:cantSplit/>
          <w:tblHeader/>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Curriculum context</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Mathematical learning it supports</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Design Engineers</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Multi-step problems, estimation and explaining decisions</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Community Planners and Sustainable Homes</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Part-whole relationships, fact families and practical number decisions</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Digital Data and Information</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Reading, writing, representing and comparing numbers</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Manufacturing and Logistics</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Equal groups, arrays, operations and checking quantities</w:t>
            </w:r>
          </w:p>
        </w:tc>
      </w:tr>
      <w:tr>
        <w:trPr>
          <w:cantSplit/>
        </w:trPr>
        <w:tc>
          <w:tcPr>
            <w:tcW w:type="dxa" w:w="373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Future Bankers and Entrepreneurs</w:t>
            </w:r>
          </w:p>
        </w:tc>
        <w:tc>
          <w:tcPr>
            <w:tcW w:type="dxa" w:w="654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Using number knowledge to explain financial choices</w:t>
            </w:r>
          </w:p>
        </w:tc>
      </w:tr>
    </w:tbl>
    <w:p>
      <w:pPr>
        <w:spacing w:after="0"/>
      </w:pPr>
    </w:p>
    <w:p>
      <w:pPr>
        <w:pStyle w:val="Heading2"/>
      </w:pPr>
      <w:r>
        <w:t>Impact</w:t>
      </w:r>
    </w:p>
    <w:p>
      <w:r>
        <w:rPr>
          <w:b w:val="0"/>
        </w:rPr>
        <w:t>The initiative offers teachers a shared approach to purposeful application and gives students opportunities to see why mathematics matters. Teacher feedback on scenario-based planning describes stronger interest, practical problem solving and improved differentiation. These accounts support the approach, while assessed student work is needed to evaluate each task’s effect on learning.</w:t>
      </w:r>
    </w:p>
    <w:p>
      <w:pPr>
        <w:pStyle w:val="Heading2"/>
      </w:pPr>
      <w:r>
        <w:t>Evidence</w:t>
      </w:r>
    </w:p>
    <w:p>
      <w:r>
        <w:rPr>
          <w:b w:val="0"/>
        </w:rPr>
        <w:t>The curriculum framework records weekly career themes, role-play scenarios, activities and expected student evidence. Lesson planning, project examples and teacher accounts show how the approach connects with classroom practice.</w:t>
      </w:r>
    </w:p>
    <w:p>
      <w:pPr>
        <w:pStyle w:val="Heading2"/>
      </w:pPr>
      <w:r>
        <w:t>Reflection</w:t>
      </w:r>
    </w:p>
    <w:p>
      <w:r>
        <w:rPr>
          <w:b w:val="0"/>
        </w:rPr>
        <w:t>The role should encourage mathematical thinking rather than distract from it. A successful career challenge allows students to model the situation, justify their decisions and apply the concept independently.</w:t>
      </w:r>
    </w:p>
    <w:p>
      <w:r>
        <w:br w:type="page"/>
      </w:r>
    </w:p>
    <w:p>
      <w:pPr>
        <w:pStyle w:val="Heading1"/>
        <w:keepNext/>
      </w:pPr>
      <w:r>
        <w:t>Connecting Learning With Financial Literacy and AI</w:t>
      </w:r>
    </w:p>
    <w:p>
      <w:pPr>
        <w:pStyle w:val="Subtitle"/>
      </w:pPr>
      <w:r>
        <w:t>A broader curriculum for informed choices and responsible innovation</w:t>
      </w:r>
    </w:p>
    <w:p>
      <w:pPr>
        <w:pStyle w:val="Heading2"/>
      </w:pPr>
      <w:r>
        <w:t>Actions</w:t>
      </w:r>
    </w:p>
    <w:p>
      <w:r>
        <w:rPr>
          <w:b w:val="0"/>
        </w:rPr>
        <w:t>I developed financial literacy and sustainability integration across K–12, alongside AI learning where it supports the mathematical purpose. Weekly career contexts, project tasks and mathematics magazines connect curriculum content with practical decisions and future opportunities.</w:t>
      </w:r>
    </w:p>
    <w:tbl>
      <w:tblPr>
        <w:tblW w:type="auto" w:w="0"/>
        <w:jc w:val="center"/>
        <w:tblLayout w:type="fixed"/>
        <w:tblLook w:firstColumn="1" w:firstRow="1" w:lastColumn="0" w:lastRow="0" w:noHBand="0" w:noVBand="1" w:val="04A0"/>
      </w:tblPr>
      <w:tblGrid>
        <w:gridCol w:w="3093"/>
        <w:gridCol w:w="7189"/>
      </w:tblGrid>
      <w:tr>
        <w:trPr>
          <w:cantSplit/>
          <w:tblHeader/>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Integration</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What learners are asked to do</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Financial literacy</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Use quantities and calculations to explain choices</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Sustainability</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Consider resources, constraints and fair decisions</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AI literacy</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Check outputs, recognise the human role and use tools responsibly</w:t>
            </w:r>
          </w:p>
        </w:tc>
      </w:tr>
    </w:tbl>
    <w:p>
      <w:pPr>
        <w:spacing w:after="0"/>
      </w:pPr>
    </w:p>
    <w:p>
      <w:pPr>
        <w:pStyle w:val="Heading2"/>
      </w:pPr>
      <w:r>
        <w:t>Impact</w:t>
      </w:r>
    </w:p>
    <w:p>
      <w:r>
        <w:rPr>
          <w:b w:val="0"/>
        </w:rPr>
        <w:t>The design gives teachers meaningful contexts for application and offers students opportunities to explain why mathematics matters. It broadens the curriculum beyond completing procedures, while retaining the learning objective as the starting point.</w:t>
      </w:r>
    </w:p>
    <w:p>
      <w:pPr>
        <w:pStyle w:val="Heading2"/>
      </w:pPr>
      <w:r>
        <w:t>Evidence</w:t>
      </w:r>
    </w:p>
    <w:p>
      <w:r>
        <w:rPr>
          <w:b w:val="0"/>
        </w:rPr>
        <w:t>The frameworks, weekly planning, role-play scenarios, project outlines and student-evidence expectations show how integration is planned. Business Day, financial literacy activities, sustainable landmark projects and AI-related tasks provide examples of application.</w:t>
      </w:r>
    </w:p>
    <w:p>
      <w:pPr>
        <w:spacing w:before="100"/>
      </w:pPr>
      <w:r>
        <w:rPr>
          <w:b/>
        </w:rPr>
        <w:t>Reflection</w:t>
      </w:r>
      <w:r>
        <w:br/>
      </w:r>
      <w:r>
        <w:rPr>
          <w:b w:val="0"/>
        </w:rPr>
        <w:t>A theme adds value when students use mathematics to make and justify a decision. The quality of the calculation, model and explanation is the evidence of learning.</w:t>
      </w:r>
    </w:p>
    <w:p>
      <w:r>
        <w:br w:type="page"/>
      </w:r>
    </w:p>
    <w:p>
      <w:pPr>
        <w:pStyle w:val="Heading1"/>
        <w:keepNext/>
      </w:pPr>
      <w:r>
        <w:t>Planning for Inclusive Learning</w:t>
      </w:r>
    </w:p>
    <w:p>
      <w:pPr>
        <w:pStyle w:val="Subtitle"/>
      </w:pPr>
      <w:r>
        <w:t>Appropriate support and challenge within the same classroom</w:t>
      </w:r>
    </w:p>
    <w:p>
      <w:pPr>
        <w:pStyle w:val="Heading2"/>
      </w:pPr>
      <w:r>
        <w:t>Actions</w:t>
      </w:r>
    </w:p>
    <w:p>
      <w:r>
        <w:rPr>
          <w:b w:val="0"/>
        </w:rPr>
        <w:t>I help teachers plan accessible tasks using practical materials, visual representations, scaffolding and mathematical language. Interest-based groups offer varied routes into learning. Class profiles and targeted standards guide intervention and enrichment.</w:t>
      </w:r>
    </w:p>
    <w:p>
      <w:pPr>
        <w:pStyle w:val="Heading2"/>
      </w:pPr>
      <w:r>
        <w:t>Assessment access</w:t>
      </w:r>
    </w:p>
    <w:p>
      <w:r>
        <w:rPr>
          <w:b w:val="0"/>
        </w:rPr>
        <w:t>I developed guidance for standards based assessment and an adapted Version S for students with special educational needs. Short instructions, visuals and suitable presentation support access. Revision resources include anchor charts, explanations, practice and digital learning links.</w:t>
      </w:r>
    </w:p>
    <w:p>
      <w:pPr>
        <w:pStyle w:val="Heading2"/>
      </w:pPr>
      <w:r>
        <w:t>Impact</w:t>
      </w:r>
    </w:p>
    <w:p>
      <w:r>
        <w:rPr>
          <w:b w:val="0"/>
        </w:rPr>
        <w:t>Teachers describe stronger differentiation and greater confidence in meeting learner needs. Parents report that visual and practical activities help children engage. One parent specifically valued group names that supported confidence without attaching an attainment label.</w:t>
      </w:r>
    </w:p>
    <w:p>
      <w:pPr>
        <w:pStyle w:val="Heading2"/>
      </w:pPr>
      <w:r>
        <w:t>Evidence</w:t>
      </w:r>
    </w:p>
    <w:p>
      <w:r>
        <w:rPr>
          <w:b w:val="0"/>
        </w:rPr>
        <w:t>Adapted assessment specifications, revision materials, class profiles, intervention plans, teacher feedback and parent accounts demonstrate the approach. Targeted routines include printed support, Boddle practice and Level Up questions selected for identified needs.</w:t>
      </w:r>
    </w:p>
    <w:p>
      <w:pPr>
        <w:spacing w:before="100"/>
      </w:pPr>
      <w:r>
        <w:rPr>
          <w:b/>
        </w:rPr>
        <w:t>Reflection</w:t>
      </w:r>
      <w:r>
        <w:br/>
      </w:r>
      <w:r>
        <w:rPr>
          <w:b w:val="0"/>
        </w:rPr>
        <w:t>An activity is appropriately differentiated when students can access it, think for themselves and make progress. Independent work after support helps determine whether the level of challenge is right.</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4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HEBA SALEH Portfolio</dc:title>
  <dc:subject/>
  <dc:creator>Heba Saleh</dc:creator>
  <cp:keywords/>
  <dc:description>generated by python-docx</dc:description>
  <cp:lastModifiedBy/>
  <cp:revision>1</cp:revision>
  <dcterms:created xsi:type="dcterms:W3CDTF">2013-12-23T23:15:00Z</dcterms:created>
  <dcterms:modified xsi:type="dcterms:W3CDTF">2013-12-23T23:15:00Z</dcterms:modified>
  <cp:category/>
</cp:coreProperties>
</file>